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after="120"/>
        <w:jc w:val="both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Fluoreszenz organischer Farbstoffe am Beispiel Riboflavin</w:t>
      </w:r>
    </w:p>
    <w:p>
      <w:pPr>
        <w:spacing w:after="120"/>
        <w:jc w:val="both"/>
        <w:rPr>
          <w:rFonts w:asciiTheme="minorHAnsi" w:hAnsiTheme="minorHAnsi"/>
          <w:i/>
        </w:rPr>
      </w:pPr>
    </w:p>
    <w:p>
      <w:pPr>
        <w:spacing w:after="120"/>
        <w:jc w:val="both"/>
        <w:rPr>
          <w:rFonts w:asciiTheme="minorHAnsi" w:hAnsiTheme="minorHAnsi"/>
          <w:b/>
          <w:bCs/>
          <w:iCs/>
        </w:rPr>
      </w:pPr>
      <w:r>
        <w:rPr>
          <w:rFonts w:asciiTheme="minorHAnsi" w:hAnsiTheme="minorHAnsi"/>
          <w:b/>
          <w:bCs/>
          <w:iCs/>
        </w:rPr>
        <w:t>Arbeitsauftrag:</w:t>
      </w:r>
    </w:p>
    <w:p>
      <w:pPr>
        <w:pStyle w:val="Listenabsatz"/>
        <w:numPr>
          <w:ilvl w:val="0"/>
          <w:numId w:val="1"/>
        </w:numPr>
        <w:spacing w:after="120"/>
        <w:jc w:val="both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Führen Sie den Versuch durch.</w:t>
      </w:r>
    </w:p>
    <w:p>
      <w:pPr>
        <w:pStyle w:val="Listenabsatz"/>
        <w:numPr>
          <w:ilvl w:val="0"/>
          <w:numId w:val="1"/>
        </w:numPr>
        <w:spacing w:after="120"/>
        <w:jc w:val="both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Begründen Sie, welche der beiden Formen des Riboflavins fluoresziert und welche farblos ist.</w:t>
      </w:r>
    </w:p>
    <w:p>
      <w:pPr>
        <w:spacing w:after="120"/>
        <w:jc w:val="both"/>
        <w:rPr>
          <w:rFonts w:asciiTheme="minorHAnsi" w:hAnsiTheme="minorHAnsi"/>
        </w:rPr>
      </w:pPr>
    </w:p>
    <w:p>
      <w:pPr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Riboflavin, auch als Laktoflavin, Vitamin B2 oder Lebensmittelfarbstoff E101 bekannt, ist ein gelber Feststoff. Im Körper wird Riboflavin, umgewandelt in die enzymatischen Cofaktoren FAD oder FMN, für </w:t>
      </w:r>
      <w:proofErr w:type="spellStart"/>
      <w:r>
        <w:rPr>
          <w:rFonts w:asciiTheme="minorHAnsi" w:hAnsiTheme="minorHAnsi"/>
        </w:rPr>
        <w:t>Redoxprozesse</w:t>
      </w:r>
      <w:proofErr w:type="spellEnd"/>
      <w:r>
        <w:rPr>
          <w:rFonts w:asciiTheme="minorHAnsi" w:hAnsiTheme="minorHAnsi"/>
        </w:rPr>
        <w:t xml:space="preserve"> verwendet, wie sie beispielsweise im Citratzyklus bzw. der Atmungskette vorkommen. Dabei wird der </w:t>
      </w:r>
      <w:proofErr w:type="spellStart"/>
      <w:r>
        <w:rPr>
          <w:rFonts w:asciiTheme="minorHAnsi" w:hAnsiTheme="minorHAnsi"/>
        </w:rPr>
        <w:t>Flavinring</w:t>
      </w:r>
      <w:proofErr w:type="spellEnd"/>
      <w:r>
        <w:rPr>
          <w:rFonts w:asciiTheme="minorHAnsi" w:hAnsiTheme="minorHAnsi"/>
        </w:rPr>
        <w:t xml:space="preserve"> oxidiert bzw. reduziert (Abb. 1).</w:t>
      </w:r>
    </w:p>
    <w:p>
      <w:pPr>
        <w:spacing w:after="120"/>
        <w:jc w:val="both"/>
        <w:rPr>
          <w:rFonts w:asciiTheme="minorHAnsi" w:hAnsiTheme="minorHAnsi"/>
        </w:rPr>
      </w:pPr>
    </w:p>
    <w:p>
      <w:pPr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4980940</wp:posOffset>
                </wp:positionH>
                <wp:positionV relativeFrom="paragraph">
                  <wp:posOffset>1204595</wp:posOffset>
                </wp:positionV>
                <wp:extent cx="1257300" cy="914400"/>
                <wp:effectExtent l="0" t="0" r="0" b="0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ex="http://schemas.microsoft.com/office/word/2018/wordml/c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Abb. 1: 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Oxidierte (links) und reduzierte (rechts) Formen des Riboflavins.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3E4ADB4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92.2pt;margin-top:94.85pt;width:99pt;height:1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" filled="f" stroked="f">
                <v:textbox>
                  <w:txbxContent>
                    <w:p w14:paraId="09232B7F" w14:textId="59DFE72F" w:rsidR="008206C2" w:rsidRPr="00ED5F10" w:rsidRDefault="008206C2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ED5F10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Abb. 1: </w:t>
                      </w:r>
                      <w:r w:rsidRPr="00ED5F1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Oxidierte (links) und reduzierte (rechts) Form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en</w:t>
                      </w:r>
                      <w:r w:rsidRPr="00ED5F10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des Riboflavins.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/>
          <w:noProof/>
        </w:rPr>
        <w:drawing>
          <wp:inline distT="0" distB="0" distL="0" distR="0">
            <wp:extent cx="4637290" cy="2072100"/>
            <wp:effectExtent l="0" t="0" r="11430" b="10795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boflavinRedOx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290" cy="20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/>
        <w:jc w:val="both"/>
        <w:rPr>
          <w:rFonts w:asciiTheme="minorHAnsi" w:hAnsiTheme="minorHAnsi"/>
        </w:rPr>
      </w:pPr>
    </w:p>
    <w:p>
      <w:pPr>
        <w:spacing w:after="1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Chemische Daten von Riboflavin: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06"/>
        <w:gridCol w:w="6550"/>
      </w:tblGrid>
      <w:tr>
        <w:tc>
          <w:tcPr>
            <w:tcW w:w="2518" w:type="dxa"/>
          </w:tcPr>
          <w:p>
            <w:pPr>
              <w:spacing w:after="12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Kurzbeschreibung</w:t>
            </w:r>
          </w:p>
        </w:tc>
        <w:tc>
          <w:tcPr>
            <w:tcW w:w="6688" w:type="dxa"/>
          </w:tcPr>
          <w:p>
            <w:pPr>
              <w:spacing w:after="12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bitter schmeckender, gelb bis orangefarbener Feststoff</w:t>
            </w:r>
          </w:p>
        </w:tc>
      </w:tr>
      <w:tr>
        <w:tc>
          <w:tcPr>
            <w:tcW w:w="2518" w:type="dxa"/>
          </w:tcPr>
          <w:p>
            <w:pPr>
              <w:spacing w:after="12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Vorkommen</w:t>
            </w:r>
          </w:p>
        </w:tc>
        <w:tc>
          <w:tcPr>
            <w:tcW w:w="6688" w:type="dxa"/>
          </w:tcPr>
          <w:p>
            <w:pPr>
              <w:spacing w:after="12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Leber, Hefe, Weizenkeime</w:t>
            </w:r>
          </w:p>
        </w:tc>
      </w:tr>
      <w:tr>
        <w:tc>
          <w:tcPr>
            <w:tcW w:w="2518" w:type="dxa"/>
          </w:tcPr>
          <w:p>
            <w:pPr>
              <w:spacing w:after="12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täglicher Bedarf</w:t>
            </w:r>
          </w:p>
        </w:tc>
        <w:tc>
          <w:tcPr>
            <w:tcW w:w="6688" w:type="dxa"/>
          </w:tcPr>
          <w:p>
            <w:pPr>
              <w:spacing w:after="12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1,5-1,7 mg</w:t>
            </w:r>
          </w:p>
        </w:tc>
      </w:tr>
      <w:tr>
        <w:tc>
          <w:tcPr>
            <w:tcW w:w="2518" w:type="dxa"/>
          </w:tcPr>
          <w:p>
            <w:pPr>
              <w:spacing w:after="12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Schmelzpunkt </w:t>
            </w:r>
          </w:p>
        </w:tc>
        <w:tc>
          <w:tcPr>
            <w:tcW w:w="6688" w:type="dxa"/>
          </w:tcPr>
          <w:p>
            <w:pPr>
              <w:spacing w:after="12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278 °C (Zersetzung)</w:t>
            </w:r>
          </w:p>
        </w:tc>
      </w:tr>
      <w:tr>
        <w:tc>
          <w:tcPr>
            <w:tcW w:w="2518" w:type="dxa"/>
          </w:tcPr>
          <w:p>
            <w:pPr>
              <w:spacing w:after="12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Löslichkeit in Wasser</w:t>
            </w:r>
          </w:p>
        </w:tc>
        <w:tc>
          <w:tcPr>
            <w:tcW w:w="6688" w:type="dxa"/>
          </w:tcPr>
          <w:p>
            <w:pPr>
              <w:spacing w:after="12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65 mg/l bei 20 °C</w:t>
            </w:r>
          </w:p>
        </w:tc>
      </w:tr>
    </w:tbl>
    <w:p>
      <w:pPr>
        <w:spacing w:after="120"/>
        <w:jc w:val="both"/>
        <w:rPr>
          <w:rFonts w:asciiTheme="minorHAnsi" w:hAnsiTheme="minorHAnsi"/>
        </w:rPr>
      </w:pPr>
    </w:p>
    <w:p>
      <w:pPr>
        <w:spacing w:after="1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Inhaltsstoffe von Pudding Vanillegeschmack (RUF):</w:t>
      </w:r>
    </w:p>
    <w:p>
      <w:pPr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Stärke, Speisesalz, Aroma, Farbstoffe (Riboflavin, </w:t>
      </w:r>
      <w:proofErr w:type="spellStart"/>
      <w:r>
        <w:rPr>
          <w:rFonts w:asciiTheme="minorHAnsi" w:hAnsiTheme="minorHAnsi"/>
        </w:rPr>
        <w:t>Norbixin</w:t>
      </w:r>
      <w:proofErr w:type="spellEnd"/>
      <w:r>
        <w:rPr>
          <w:rFonts w:asciiTheme="minorHAnsi" w:hAnsiTheme="minorHAnsi"/>
        </w:rPr>
        <w:t>)</w:t>
      </w:r>
    </w:p>
    <w:p>
      <w:pPr>
        <w:spacing w:after="120"/>
        <w:jc w:val="both"/>
        <w:rPr>
          <w:rFonts w:asciiTheme="minorHAnsi" w:hAnsiTheme="minorHAnsi"/>
        </w:rPr>
      </w:pPr>
    </w:p>
    <w:p>
      <w:pPr>
        <w:spacing w:after="120"/>
        <w:jc w:val="both"/>
        <w:rPr>
          <w:rFonts w:asciiTheme="minorHAnsi" w:hAnsiTheme="minorHAnsi"/>
        </w:rPr>
        <w:sectPr>
          <w:headerReference w:type="default" r:id="rId8"/>
          <w:footerReference w:type="default" r:id="rId9"/>
          <w:pgSz w:w="11900" w:h="16840"/>
          <w:pgMar w:top="1417" w:right="1417" w:bottom="1134" w:left="1417" w:header="708" w:footer="708" w:gutter="0"/>
          <w:cols w:space="708"/>
        </w:sectPr>
      </w:pPr>
    </w:p>
    <w:p>
      <w:pPr>
        <w:spacing w:after="12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lastRenderedPageBreak/>
        <w:t>Versuch: Extraktion von Riboflavin aus Puddingpulver</w:t>
      </w:r>
    </w:p>
    <w:p>
      <w:pPr>
        <w:spacing w:after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Bei diesem Versuch wird das wasserlösliche Riboflavin von den unlöslichen Bestandteilen des Puddingpulvers getrennt. Anschließend wird es einem </w:t>
      </w:r>
      <w:proofErr w:type="spellStart"/>
      <w:r>
        <w:rPr>
          <w:rFonts w:asciiTheme="majorHAnsi" w:hAnsiTheme="majorHAnsi" w:cstheme="majorHAnsi"/>
        </w:rPr>
        <w:t>Redoxprozess</w:t>
      </w:r>
      <w:proofErr w:type="spellEnd"/>
      <w:r>
        <w:rPr>
          <w:rFonts w:asciiTheme="majorHAnsi" w:hAnsiTheme="majorHAnsi" w:cstheme="majorHAnsi"/>
        </w:rPr>
        <w:t xml:space="preserve"> unterzogen (s. Abb. 1). </w:t>
      </w:r>
    </w:p>
    <w:p>
      <w:pPr>
        <w:spacing w:after="120"/>
        <w:jc w:val="both"/>
        <w:rPr>
          <w:rFonts w:asciiTheme="majorHAnsi" w:hAnsiTheme="majorHAnsi" w:cstheme="majorHAnsi"/>
          <w:b/>
          <w:bCs/>
        </w:rPr>
      </w:pPr>
    </w:p>
    <w:p>
      <w:pPr>
        <w:spacing w:after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Stoffe:</w:t>
      </w:r>
      <w:r>
        <w:rPr>
          <w:rFonts w:asciiTheme="majorHAnsi" w:hAnsiTheme="majorHAnsi" w:cstheme="majorHAnsi"/>
        </w:rPr>
        <w:t xml:space="preserve"> Puddingpulver Vanille, Wasser, frisch hergestellte </w:t>
      </w:r>
      <w:proofErr w:type="spellStart"/>
      <w:r>
        <w:rPr>
          <w:rFonts w:asciiTheme="majorHAnsi" w:hAnsiTheme="majorHAnsi" w:cstheme="majorHAnsi"/>
        </w:rPr>
        <w:t>Natriumdithionit</w:t>
      </w:r>
      <w:proofErr w:type="spellEnd"/>
      <w:r>
        <w:rPr>
          <w:rFonts w:asciiTheme="majorHAnsi" w:hAnsiTheme="majorHAnsi" w:cstheme="majorHAnsi"/>
        </w:rPr>
        <w:t>-Lösung</w:t>
      </w:r>
    </w:p>
    <w:p>
      <w:pPr>
        <w:spacing w:after="120"/>
        <w:jc w:val="both"/>
        <w:rPr>
          <w:rFonts w:asciiTheme="majorHAnsi" w:hAnsiTheme="majorHAnsi" w:cstheme="majorHAnsi"/>
        </w:rPr>
      </w:pPr>
    </w:p>
    <w:p>
      <w:pPr>
        <w:spacing w:after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Materialien:</w:t>
      </w:r>
      <w:r>
        <w:rPr>
          <w:rFonts w:asciiTheme="majorHAnsi" w:hAnsiTheme="majorHAnsi" w:cstheme="majorHAnsi"/>
        </w:rPr>
        <w:t xml:space="preserve"> Becherglas, Erlenmeyerkolben, Magnetrührer, Trichter</w:t>
      </w:r>
      <w:bookmarkStart w:id="0" w:name="_GoBack"/>
      <w:bookmarkEnd w:id="0"/>
      <w:r>
        <w:rPr>
          <w:rFonts w:asciiTheme="majorHAnsi" w:hAnsiTheme="majorHAnsi" w:cstheme="majorHAnsi"/>
        </w:rPr>
        <w:t>, Filterpapier, Pipetten, UV-Lampe, Waage, Spatel</w:t>
      </w:r>
    </w:p>
    <w:p>
      <w:pPr>
        <w:spacing w:after="120"/>
        <w:jc w:val="both"/>
        <w:rPr>
          <w:rFonts w:asciiTheme="majorHAnsi" w:hAnsiTheme="majorHAnsi" w:cstheme="majorHAnsi"/>
        </w:rPr>
      </w:pPr>
    </w:p>
    <w:p>
      <w:pPr>
        <w:spacing w:after="120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Durchführung:</w:t>
      </w:r>
    </w:p>
    <w:p>
      <w:pPr>
        <w:pStyle w:val="Listenabsatz"/>
        <w:numPr>
          <w:ilvl w:val="0"/>
          <w:numId w:val="2"/>
        </w:numPr>
        <w:spacing w:after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8 g Puddingpulver werden im Becherglas mit 200 ml Wasser aufgeschlämmt und ca. 5 min mit dem Magnetrührer gerührt. Anschließend wird durch einen Filter (im Trichter) in den Erlenmeyerkolben filtriert.</w:t>
      </w:r>
    </w:p>
    <w:p>
      <w:pPr>
        <w:pStyle w:val="Listenabsatz"/>
        <w:spacing w:after="120"/>
        <w:jc w:val="both"/>
        <w:rPr>
          <w:rFonts w:asciiTheme="majorHAnsi" w:hAnsiTheme="majorHAnsi" w:cstheme="majorHAnsi"/>
        </w:rPr>
      </w:pPr>
    </w:p>
    <w:p>
      <w:pPr>
        <w:pStyle w:val="Listenabsatz"/>
        <w:numPr>
          <w:ilvl w:val="0"/>
          <w:numId w:val="2"/>
        </w:numPr>
        <w:spacing w:after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Die </w:t>
      </w:r>
      <w:proofErr w:type="spellStart"/>
      <w:r>
        <w:rPr>
          <w:rFonts w:asciiTheme="majorHAnsi" w:hAnsiTheme="majorHAnsi" w:cstheme="majorHAnsi"/>
        </w:rPr>
        <w:t>Natriumdithionit</w:t>
      </w:r>
      <w:proofErr w:type="spellEnd"/>
      <w:r>
        <w:rPr>
          <w:rFonts w:asciiTheme="majorHAnsi" w:hAnsiTheme="majorHAnsi" w:cstheme="majorHAnsi"/>
        </w:rPr>
        <w:t>-Lösung wird frisch zubereitet: 1 g Na</w:t>
      </w:r>
      <w:r>
        <w:rPr>
          <w:rFonts w:asciiTheme="majorHAnsi" w:hAnsiTheme="majorHAnsi" w:cstheme="majorHAnsi"/>
          <w:vertAlign w:val="subscript"/>
        </w:rPr>
        <w:t>2</w:t>
      </w:r>
      <w:r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  <w:vertAlign w:val="subscript"/>
        </w:rPr>
        <w:t>2</w:t>
      </w:r>
      <w:r>
        <w:rPr>
          <w:rFonts w:asciiTheme="majorHAnsi" w:hAnsiTheme="majorHAnsi" w:cstheme="majorHAnsi"/>
        </w:rPr>
        <w:t>O</w:t>
      </w:r>
      <w:r>
        <w:rPr>
          <w:rFonts w:asciiTheme="majorHAnsi" w:hAnsiTheme="majorHAnsi" w:cstheme="majorHAnsi"/>
          <w:vertAlign w:val="subscript"/>
        </w:rPr>
        <w:t>4</w:t>
      </w:r>
      <w:r>
        <w:rPr>
          <w:rFonts w:asciiTheme="majorHAnsi" w:hAnsiTheme="majorHAnsi" w:cstheme="majorHAnsi"/>
        </w:rPr>
        <w:t xml:space="preserve"> auf 10 ml Wasser.</w:t>
      </w:r>
    </w:p>
    <w:p>
      <w:pPr>
        <w:pStyle w:val="Listenabsatz"/>
        <w:rPr>
          <w:rFonts w:asciiTheme="majorHAnsi" w:hAnsiTheme="majorHAnsi" w:cstheme="majorHAnsi"/>
        </w:rPr>
      </w:pPr>
    </w:p>
    <w:p>
      <w:pPr>
        <w:pStyle w:val="Listenabsatz"/>
        <w:numPr>
          <w:ilvl w:val="0"/>
          <w:numId w:val="2"/>
        </w:numPr>
        <w:spacing w:after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Die folgenden Schritte werden im Dunkeln durchgeführt: Der Extrakt im Erlenmeyerkolben wird mit der UV-Lampe bestrahlt (Einstellung LW). Geben Sie tropfenweise </w:t>
      </w:r>
      <w:proofErr w:type="spellStart"/>
      <w:r>
        <w:rPr>
          <w:rFonts w:asciiTheme="majorHAnsi" w:hAnsiTheme="majorHAnsi" w:cstheme="majorHAnsi"/>
        </w:rPr>
        <w:t>Natriumdithionit</w:t>
      </w:r>
      <w:proofErr w:type="spellEnd"/>
      <w:r>
        <w:rPr>
          <w:rFonts w:asciiTheme="majorHAnsi" w:hAnsiTheme="majorHAnsi" w:cstheme="majorHAnsi"/>
        </w:rPr>
        <w:t>-Lösung hinzu, bis die Lösung gerade so keine Fluoreszenz mehr zeigt.</w:t>
      </w:r>
    </w:p>
    <w:p>
      <w:pPr>
        <w:pStyle w:val="Listenabsatz"/>
        <w:rPr>
          <w:rFonts w:asciiTheme="majorHAnsi" w:hAnsiTheme="majorHAnsi" w:cstheme="majorHAnsi"/>
        </w:rPr>
      </w:pPr>
    </w:p>
    <w:p>
      <w:pPr>
        <w:pStyle w:val="Listenabsatz"/>
        <w:numPr>
          <w:ilvl w:val="0"/>
          <w:numId w:val="2"/>
        </w:numPr>
        <w:spacing w:after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Im nächsten Schritt schwenken Sie den Kolben kräftig an der Luft.</w:t>
      </w:r>
    </w:p>
    <w:p>
      <w:pPr>
        <w:pStyle w:val="Listenabsatz"/>
        <w:rPr>
          <w:rFonts w:asciiTheme="majorHAnsi" w:hAnsiTheme="majorHAnsi" w:cstheme="majorHAnsi"/>
        </w:rPr>
      </w:pPr>
    </w:p>
    <w:p>
      <w:pPr>
        <w:pStyle w:val="Listenabsatz"/>
        <w:numPr>
          <w:ilvl w:val="0"/>
          <w:numId w:val="2"/>
        </w:numPr>
        <w:spacing w:after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Wiederholen Sie Schritt 3 &amp; 4 einige Male.</w:t>
      </w:r>
    </w:p>
    <w:p>
      <w:pPr>
        <w:pStyle w:val="Listenabsatz"/>
        <w:rPr>
          <w:rFonts w:asciiTheme="majorHAnsi" w:hAnsiTheme="majorHAnsi" w:cstheme="majorHAnsi"/>
        </w:rPr>
      </w:pPr>
    </w:p>
    <w:p>
      <w:pPr>
        <w:spacing w:after="120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Beobachtungen und Notizen:</w:t>
      </w:r>
    </w:p>
    <w:p>
      <w:pPr>
        <w:pStyle w:val="Listenabsatz"/>
        <w:rPr>
          <w:rFonts w:asciiTheme="majorHAnsi" w:hAnsiTheme="majorHAnsi" w:cstheme="majorHAnsi"/>
        </w:rPr>
      </w:pPr>
    </w:p>
    <w:sectPr>
      <w:headerReference w:type="default" r:id="rId10"/>
      <w:footerReference w:type="default" r:id="rId11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rPr>
        <w:rFonts w:asciiTheme="majorHAnsi" w:hAnsiTheme="majorHAnsi"/>
        <w:i/>
        <w:sz w:val="20"/>
        <w:szCs w:val="20"/>
      </w:rPr>
    </w:pPr>
    <w:r>
      <w:rPr>
        <w:rFonts w:asciiTheme="majorHAnsi" w:hAnsiTheme="majorHAnsi"/>
        <w:i/>
        <w:sz w:val="20"/>
        <w:szCs w:val="20"/>
      </w:rPr>
      <w:t xml:space="preserve">Strukturformel erstellt mit </w:t>
    </w:r>
    <w:proofErr w:type="spellStart"/>
    <w:r>
      <w:rPr>
        <w:rFonts w:asciiTheme="majorHAnsi" w:hAnsiTheme="majorHAnsi"/>
        <w:i/>
        <w:sz w:val="20"/>
        <w:szCs w:val="20"/>
      </w:rPr>
      <w:t>MarvinSketch</w:t>
    </w:r>
    <w:proofErr w:type="spellEnd"/>
    <w:r>
      <w:rPr>
        <w:rFonts w:asciiTheme="majorHAnsi" w:hAnsiTheme="majorHAnsi"/>
        <w:i/>
        <w:sz w:val="20"/>
        <w:szCs w:val="20"/>
      </w:rPr>
      <w:t xml:space="preserve">; </w:t>
    </w:r>
  </w:p>
  <w:p>
    <w:pPr>
      <w:pStyle w:val="Fuzeile"/>
      <w:rPr>
        <w:rFonts w:asciiTheme="majorHAnsi" w:hAnsiTheme="majorHAnsi"/>
        <w:i/>
        <w:sz w:val="20"/>
        <w:szCs w:val="20"/>
      </w:rPr>
    </w:pPr>
    <w:r>
      <w:rPr>
        <w:rFonts w:asciiTheme="majorHAnsi" w:hAnsiTheme="majorHAnsi"/>
        <w:i/>
        <w:sz w:val="20"/>
        <w:szCs w:val="20"/>
      </w:rPr>
      <w:t xml:space="preserve">chemische Daten: https://de.wikipedia.org/wiki/Riboflavin (27.4.2017); </w:t>
    </w:r>
  </w:p>
  <w:p>
    <w:pPr>
      <w:pStyle w:val="Fuzeile"/>
      <w:rPr>
        <w:rFonts w:asciiTheme="majorHAnsi" w:hAnsiTheme="majorHAnsi"/>
        <w:i/>
        <w:sz w:val="20"/>
        <w:szCs w:val="20"/>
      </w:rPr>
    </w:pPr>
    <w:r>
      <w:rPr>
        <w:rFonts w:asciiTheme="majorHAnsi" w:hAnsiTheme="majorHAnsi"/>
        <w:i/>
        <w:sz w:val="20"/>
        <w:szCs w:val="20"/>
      </w:rPr>
      <w:t>Inhaltsstoffe Pudding: http://www.glutenfrei-supermarkt.de/Ruf+Pudding+Vanille+Geschmack.htm (27.4.2017)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rPr>
        <w:rFonts w:asciiTheme="majorHAnsi" w:hAnsiTheme="majorHAnsi"/>
        <w:i/>
        <w:sz w:val="20"/>
        <w:szCs w:val="20"/>
      </w:rPr>
    </w:pPr>
    <w:r>
      <w:rPr>
        <w:rFonts w:asciiTheme="majorHAnsi" w:hAnsiTheme="majorHAnsi"/>
        <w:i/>
        <w:sz w:val="20"/>
        <w:szCs w:val="20"/>
      </w:rPr>
      <w:t>Quelle Versuchsanleitung: M. Glaser (2014)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2972"/>
      <w:gridCol w:w="3065"/>
      <w:gridCol w:w="3019"/>
    </w:tblGrid>
    <w:tr>
      <w:tc>
        <w:tcPr>
          <w:tcW w:w="2972" w:type="dxa"/>
          <w:vAlign w:val="center"/>
        </w:tcPr>
        <w:p>
          <w:pPr>
            <w:pStyle w:val="Kopfzeile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Chemie 11</w:t>
          </w:r>
        </w:p>
      </w:tc>
      <w:tc>
        <w:tcPr>
          <w:tcW w:w="3065" w:type="dxa"/>
          <w:vAlign w:val="center"/>
        </w:tcPr>
        <w:p>
          <w:pPr>
            <w:pStyle w:val="Kopfzeile"/>
            <w:jc w:val="center"/>
            <w:rPr>
              <w:rFonts w:asciiTheme="majorHAnsi" w:hAnsiTheme="majorHAnsi" w:cstheme="majorHAnsi"/>
              <w:b/>
              <w:bCs/>
            </w:rPr>
          </w:pPr>
          <w:r>
            <w:rPr>
              <w:rFonts w:asciiTheme="majorHAnsi" w:hAnsiTheme="majorHAnsi" w:cstheme="majorHAnsi"/>
              <w:b/>
              <w:bCs/>
            </w:rPr>
            <w:t>Farbstoffe</w:t>
          </w:r>
        </w:p>
      </w:tc>
      <w:tc>
        <w:tcPr>
          <w:tcW w:w="3019" w:type="dxa"/>
        </w:tcPr>
        <w:p>
          <w:pPr>
            <w:pStyle w:val="Kopfzeile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Name:</w:t>
          </w:r>
        </w:p>
        <w:p>
          <w:pPr>
            <w:pStyle w:val="Kopfzeile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Datum:</w:t>
          </w:r>
        </w:p>
      </w:tc>
    </w:tr>
  </w:tbl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2972"/>
      <w:gridCol w:w="3065"/>
      <w:gridCol w:w="3019"/>
    </w:tblGrid>
    <w:tr>
      <w:tc>
        <w:tcPr>
          <w:tcW w:w="2972" w:type="dxa"/>
          <w:vAlign w:val="center"/>
        </w:tcPr>
        <w:p>
          <w:pPr>
            <w:pStyle w:val="Kopfzeile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Chemie 11</w:t>
          </w:r>
        </w:p>
      </w:tc>
      <w:tc>
        <w:tcPr>
          <w:tcW w:w="3065" w:type="dxa"/>
          <w:vAlign w:val="center"/>
        </w:tcPr>
        <w:p>
          <w:pPr>
            <w:pStyle w:val="Kopfzeile"/>
            <w:jc w:val="center"/>
            <w:rPr>
              <w:rFonts w:asciiTheme="majorHAnsi" w:hAnsiTheme="majorHAnsi" w:cstheme="majorHAnsi"/>
              <w:b/>
              <w:bCs/>
            </w:rPr>
          </w:pPr>
          <w:r>
            <w:rPr>
              <w:rFonts w:asciiTheme="majorHAnsi" w:hAnsiTheme="majorHAnsi" w:cstheme="majorHAnsi"/>
              <w:b/>
              <w:bCs/>
            </w:rPr>
            <w:t>Farbstoffe</w:t>
          </w:r>
        </w:p>
      </w:tc>
      <w:tc>
        <w:tcPr>
          <w:tcW w:w="3019" w:type="dxa"/>
        </w:tcPr>
        <w:p>
          <w:pPr>
            <w:pStyle w:val="Kopfzeile"/>
            <w:rPr>
              <w:rFonts w:asciiTheme="majorHAnsi" w:hAnsiTheme="majorHAnsi" w:cstheme="majorHAnsi"/>
            </w:rPr>
          </w:pPr>
        </w:p>
      </w:tc>
    </w:tr>
  </w:tbl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B42D3"/>
    <w:multiLevelType w:val="hybridMultilevel"/>
    <w:tmpl w:val="DF848C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40B92"/>
    <w:multiLevelType w:val="hybridMultilevel"/>
    <w:tmpl w:val="FDC86D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efaultImageDpi w14:val="300"/>
  <w15:docId w15:val="{E46E42DE-0910-264D-BB2F-DF69D48D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UnterberschriftProposal">
    <w:name w:val="UnterüberschriftProposal"/>
    <w:basedOn w:val="Standard"/>
    <w:next w:val="Standard"/>
    <w:pPr>
      <w:tabs>
        <w:tab w:val="left" w:leader="dot" w:pos="8789"/>
      </w:tabs>
      <w:spacing w:after="120"/>
      <w:jc w:val="both"/>
    </w:pPr>
    <w:rPr>
      <w:b/>
      <w:lang w:val="en-GB" w:eastAsia="en-GB"/>
    </w:rPr>
  </w:style>
  <w:style w:type="paragraph" w:customStyle="1" w:styleId="AufzhlungProposal">
    <w:name w:val="AufzählungProposal"/>
    <w:basedOn w:val="Standard"/>
    <w:pPr>
      <w:tabs>
        <w:tab w:val="left" w:leader="dot" w:pos="8789"/>
      </w:tabs>
      <w:spacing w:after="120"/>
      <w:jc w:val="both"/>
    </w:pPr>
    <w:rPr>
      <w:lang w:val="en-GB" w:eastAsia="en-GB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Lucida Grande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Kirchner</dc:creator>
  <cp:keywords/>
  <dc:description/>
  <cp:lastModifiedBy>L698525</cp:lastModifiedBy>
  <cp:revision>4</cp:revision>
  <dcterms:created xsi:type="dcterms:W3CDTF">2021-05-28T09:49:00Z</dcterms:created>
  <dcterms:modified xsi:type="dcterms:W3CDTF">2023-06-13T11:42:00Z</dcterms:modified>
</cp:coreProperties>
</file>